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76" w:rsidRPr="00ED5BED" w:rsidRDefault="00861572" w:rsidP="00530076">
      <w:pPr>
        <w:ind w:firstLine="284"/>
        <w:jc w:val="center"/>
        <w:rPr>
          <w:b/>
        </w:rPr>
      </w:pPr>
      <w:r w:rsidRPr="00ED5BED">
        <w:rPr>
          <w:b/>
        </w:rPr>
        <w:t>Анализ результатов пробного ЕГЭ по физике в Кущевском районе</w:t>
      </w:r>
    </w:p>
    <w:p w:rsidR="00861572" w:rsidRPr="00ED5BED" w:rsidRDefault="00861572" w:rsidP="00530076">
      <w:pPr>
        <w:ind w:firstLine="284"/>
        <w:jc w:val="center"/>
        <w:rPr>
          <w:b/>
        </w:rPr>
      </w:pPr>
      <w:r w:rsidRPr="00ED5BED">
        <w:rPr>
          <w:b/>
        </w:rPr>
        <w:t>2012-2013 учебного года.</w:t>
      </w:r>
    </w:p>
    <w:p w:rsidR="00861572" w:rsidRPr="00ED5BED" w:rsidRDefault="00861572" w:rsidP="00530076">
      <w:pPr>
        <w:ind w:firstLine="284"/>
        <w:jc w:val="both"/>
      </w:pPr>
    </w:p>
    <w:p w:rsidR="00D63590" w:rsidRPr="00ED5BED" w:rsidRDefault="00861572" w:rsidP="00530076">
      <w:pPr>
        <w:autoSpaceDE w:val="0"/>
        <w:autoSpaceDN w:val="0"/>
        <w:adjustRightInd w:val="0"/>
        <w:ind w:firstLine="284"/>
        <w:jc w:val="both"/>
      </w:pPr>
      <w:r w:rsidRPr="00ED5BED">
        <w:t xml:space="preserve">Во исполнение приказа управления образования от </w:t>
      </w:r>
      <w:r w:rsidR="00894043" w:rsidRPr="00ED5BED">
        <w:t>31.10.12г. №992</w:t>
      </w:r>
      <w:r w:rsidRPr="00ED5BED">
        <w:t xml:space="preserve"> «О проведении пробного ЕГЭ по физике</w:t>
      </w:r>
      <w:r w:rsidR="00894043" w:rsidRPr="00ED5BED">
        <w:t xml:space="preserve"> для учащихся 11-х классов в ОУ Кущевского района </w:t>
      </w:r>
      <w:r w:rsidRPr="00ED5BED">
        <w:t>»</w:t>
      </w:r>
      <w:r w:rsidR="00D63590" w:rsidRPr="00ED5BED">
        <w:t>.</w:t>
      </w:r>
    </w:p>
    <w:p w:rsidR="00861572" w:rsidRPr="00ED5BED" w:rsidRDefault="00861572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t xml:space="preserve"> 3 ноября 2012 года проведен пробный ЕГЭ по физике. Задания выполняли 55 учащихся 11 классов</w:t>
      </w:r>
      <w:r w:rsidR="002D4CA1" w:rsidRPr="00ED5BED">
        <w:t xml:space="preserve"> из 11</w:t>
      </w:r>
      <w:r w:rsidRPr="00ED5BED">
        <w:t xml:space="preserve"> школ района.</w:t>
      </w:r>
    </w:p>
    <w:p w:rsidR="00981380" w:rsidRDefault="00861572" w:rsidP="00981380">
      <w:pPr>
        <w:spacing w:line="264" w:lineRule="auto"/>
        <w:ind w:firstLine="426"/>
        <w:jc w:val="both"/>
        <w:rPr>
          <w:rFonts w:eastAsia="Calibri"/>
          <w:sz w:val="28"/>
          <w:szCs w:val="28"/>
        </w:rPr>
      </w:pPr>
      <w:r w:rsidRPr="00ED5BED">
        <w:rPr>
          <w:rFonts w:eastAsiaTheme="minorHAnsi"/>
          <w:lang w:eastAsia="en-US"/>
        </w:rPr>
        <w:t>Цель проведения пробного ЕГЭ по физике:</w:t>
      </w:r>
      <w:r w:rsidR="00D63590" w:rsidRPr="00ED5BED">
        <w:rPr>
          <w:rFonts w:eastAsiaTheme="minorHAnsi"/>
          <w:lang w:eastAsia="en-US"/>
        </w:rPr>
        <w:t xml:space="preserve"> </w:t>
      </w:r>
      <w:r w:rsidR="00981380">
        <w:rPr>
          <w:rFonts w:eastAsia="Calibri"/>
          <w:sz w:val="28"/>
          <w:szCs w:val="28"/>
        </w:rPr>
        <w:t xml:space="preserve">отслеживание динамики уровня подготовленности выпускников к итоговой аттестации в форме ЕГЭ </w:t>
      </w:r>
    </w:p>
    <w:p w:rsidR="00D63590" w:rsidRPr="00ED5BED" w:rsidRDefault="00D63590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lang w:eastAsia="en-US"/>
        </w:rPr>
        <w:t xml:space="preserve">Проведение пробного экзамена в соответствии с реальным ЕГЭ решает ряд важных задач: </w:t>
      </w:r>
    </w:p>
    <w:p w:rsidR="00D63590" w:rsidRPr="00ED5BED" w:rsidRDefault="00D63590" w:rsidP="00530076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lang w:eastAsia="en-US"/>
        </w:rPr>
        <w:t>В условиях, приближенных к реальному экзамену, происходит психологическая адаптация.</w:t>
      </w:r>
    </w:p>
    <w:p w:rsidR="00D63590" w:rsidRPr="00ED5BED" w:rsidRDefault="00D63590" w:rsidP="00530076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lang w:eastAsia="en-US"/>
        </w:rPr>
        <w:t xml:space="preserve">После проведения разбора работы легко скорректировать индивидуальный план подготовки, обратить повышенное внимание на определенные разделы или темы. </w:t>
      </w:r>
    </w:p>
    <w:p w:rsidR="00D63590" w:rsidRPr="00ED5BED" w:rsidRDefault="00D63590" w:rsidP="00530076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lang w:eastAsia="en-US"/>
        </w:rPr>
        <w:t>Вырабатывается уверенность и точность заполнения бланков ответов и переноса с черновика без ошибок и помарок.</w:t>
      </w:r>
    </w:p>
    <w:p w:rsidR="003F25B3" w:rsidRPr="00ED5BED" w:rsidRDefault="00D63590" w:rsidP="00530076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lang w:eastAsia="en-US"/>
        </w:rPr>
        <w:t>Отрабатывается "чувство времени" – навык распределения отведенного на экзамен времени между отдельными частями экзамена и даже между конкретными заданиями.</w:t>
      </w:r>
    </w:p>
    <w:p w:rsidR="009B4613" w:rsidRPr="00ED5BED" w:rsidRDefault="003F25B3" w:rsidP="00530076">
      <w:pPr>
        <w:ind w:firstLine="284"/>
        <w:jc w:val="both"/>
      </w:pPr>
      <w:r w:rsidRPr="00ED5BED">
        <w:t>Работа была составлена  с учетом структуры ЕГЭ,  в которой согласно спецификации базовых заданий было 22, повышенной сложности 7 заданий и высокой 5 заданий</w:t>
      </w:r>
      <w:r w:rsidR="00894043" w:rsidRPr="00ED5BED">
        <w:t xml:space="preserve"> </w:t>
      </w:r>
      <w:proofErr w:type="gramStart"/>
      <w:r w:rsidR="00894043" w:rsidRPr="00ED5BED">
        <w:t xml:space="preserve">( </w:t>
      </w:r>
      <w:proofErr w:type="gramEnd"/>
      <w:r w:rsidR="00894043" w:rsidRPr="00ED5BED">
        <w:t xml:space="preserve">всего 6 вариантов заданий). </w:t>
      </w:r>
      <w:r w:rsidRPr="00ED5BED">
        <w:t xml:space="preserve"> Можно отметить, что работа составлялась с учетом полного объема курса по физике, а это значит, были темы, которые еще не были изучены учащимися, однако заданий базовой сложности изученных учащимися было достаточно для прохождения порога успешности.  </w:t>
      </w:r>
      <w:r w:rsidR="00861572" w:rsidRPr="00ED5BED">
        <w:t xml:space="preserve"> Каждая работа учащихся оценивалась,</w:t>
      </w:r>
      <w:r w:rsidR="006D068E" w:rsidRPr="00ED5BED">
        <w:t xml:space="preserve"> </w:t>
      </w:r>
      <w:proofErr w:type="gramStart"/>
      <w:r w:rsidR="00861572" w:rsidRPr="00ED5BED">
        <w:t>проверяющими</w:t>
      </w:r>
      <w:proofErr w:type="gramEnd"/>
      <w:r w:rsidR="00861572" w:rsidRPr="00ED5BED">
        <w:t xml:space="preserve">  по «первичным баллам».  Результаты анализировались по следующим показателям:</w:t>
      </w:r>
    </w:p>
    <w:p w:rsidR="009B4613" w:rsidRPr="00ED5BED" w:rsidRDefault="009B4613" w:rsidP="00530076">
      <w:pPr>
        <w:ind w:firstLine="284"/>
        <w:jc w:val="both"/>
      </w:pPr>
      <w:r w:rsidRPr="00ED5BED">
        <w:t xml:space="preserve">Преодолели «порог успешности», т.е. набрали 14 и более баллов 27 учеников, не преодолели «порог успешности» – 28 учеников. </w:t>
      </w:r>
    </w:p>
    <w:p w:rsidR="006851A8" w:rsidRPr="00ED5BED" w:rsidRDefault="006851A8" w:rsidP="00530076">
      <w:pPr>
        <w:ind w:firstLine="284"/>
        <w:jc w:val="both"/>
      </w:pPr>
      <w:r w:rsidRPr="00ED5BED">
        <w:t>Ни в одной из школ района обученность не составила 100%.</w:t>
      </w:r>
    </w:p>
    <w:p w:rsidR="00095644" w:rsidRPr="00ED5BED" w:rsidRDefault="00095644" w:rsidP="00530076">
      <w:pPr>
        <w:pStyle w:val="a3"/>
        <w:ind w:left="784" w:firstLine="284"/>
        <w:jc w:val="both"/>
      </w:pPr>
    </w:p>
    <w:tbl>
      <w:tblPr>
        <w:tblStyle w:val="a4"/>
        <w:tblW w:w="0" w:type="auto"/>
        <w:tblInd w:w="784" w:type="dxa"/>
        <w:tblLayout w:type="fixed"/>
        <w:tblLook w:val="04A0"/>
      </w:tblPr>
      <w:tblGrid>
        <w:gridCol w:w="785"/>
        <w:gridCol w:w="949"/>
        <w:gridCol w:w="2693"/>
        <w:gridCol w:w="1560"/>
        <w:gridCol w:w="1701"/>
        <w:gridCol w:w="1701"/>
      </w:tblGrid>
      <w:tr w:rsidR="00096B81" w:rsidRPr="00ED5BED" w:rsidTr="00B46CC1">
        <w:tc>
          <w:tcPr>
            <w:tcW w:w="785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B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5BED">
              <w:rPr>
                <w:sz w:val="24"/>
                <w:szCs w:val="24"/>
              </w:rPr>
              <w:t>/</w:t>
            </w:r>
            <w:proofErr w:type="spellStart"/>
            <w:r w:rsidRPr="00ED5B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ОУ</w:t>
            </w:r>
          </w:p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ФИО учителя</w:t>
            </w:r>
          </w:p>
        </w:tc>
        <w:tc>
          <w:tcPr>
            <w:tcW w:w="1560" w:type="dxa"/>
          </w:tcPr>
          <w:p w:rsidR="00096B81" w:rsidRPr="00ED5BED" w:rsidRDefault="00096B81" w:rsidP="00096B8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 xml:space="preserve">Процент </w:t>
            </w:r>
            <w:proofErr w:type="spellStart"/>
            <w:r w:rsidRPr="00ED5BED">
              <w:rPr>
                <w:sz w:val="24"/>
                <w:szCs w:val="24"/>
              </w:rPr>
              <w:t>обученнос-ти</w:t>
            </w:r>
            <w:proofErr w:type="spellEnd"/>
            <w:r w:rsidRPr="00ED5BED">
              <w:rPr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096B81" w:rsidRPr="00ED5BED" w:rsidRDefault="00096B81" w:rsidP="00096B8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Качество знаний, %</w:t>
            </w:r>
          </w:p>
        </w:tc>
        <w:tc>
          <w:tcPr>
            <w:tcW w:w="1701" w:type="dxa"/>
          </w:tcPr>
          <w:p w:rsidR="00096B81" w:rsidRPr="00ED5BED" w:rsidRDefault="00096B81" w:rsidP="00096B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Средний</w:t>
            </w:r>
          </w:p>
          <w:p w:rsidR="00096B81" w:rsidRPr="00ED5BED" w:rsidRDefault="00096B81" w:rsidP="00096B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балл</w:t>
            </w:r>
          </w:p>
        </w:tc>
      </w:tr>
      <w:tr w:rsidR="00096B81" w:rsidRPr="00ED5BED" w:rsidTr="00B46CC1">
        <w:tc>
          <w:tcPr>
            <w:tcW w:w="785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96B81" w:rsidRPr="00ED5BED" w:rsidRDefault="00096B81" w:rsidP="00096B81">
            <w:pPr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Карякина И.И</w:t>
            </w:r>
          </w:p>
        </w:tc>
        <w:tc>
          <w:tcPr>
            <w:tcW w:w="1560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B81" w:rsidRPr="00ED5BED" w:rsidRDefault="0049437D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12</w:t>
            </w:r>
          </w:p>
        </w:tc>
      </w:tr>
      <w:tr w:rsidR="00096B81" w:rsidRPr="00ED5BED" w:rsidTr="00B46CC1">
        <w:tc>
          <w:tcPr>
            <w:tcW w:w="785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96B81" w:rsidRPr="00ED5BED" w:rsidRDefault="00096B81" w:rsidP="00096B8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D5BED">
              <w:rPr>
                <w:sz w:val="24"/>
                <w:szCs w:val="24"/>
              </w:rPr>
              <w:t>Осепаишвили</w:t>
            </w:r>
            <w:proofErr w:type="spellEnd"/>
            <w:r w:rsidRPr="00ED5BED"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1560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B81" w:rsidRPr="00ED5BED" w:rsidRDefault="0049437D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11,5</w:t>
            </w:r>
          </w:p>
        </w:tc>
      </w:tr>
      <w:tr w:rsidR="00096B81" w:rsidRPr="00ED5BED" w:rsidTr="00B46CC1">
        <w:tc>
          <w:tcPr>
            <w:tcW w:w="785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</w:tcPr>
          <w:p w:rsidR="00096B81" w:rsidRPr="00ED5BED" w:rsidRDefault="00096B81" w:rsidP="00096B81">
            <w:pPr>
              <w:jc w:val="both"/>
              <w:rPr>
                <w:sz w:val="24"/>
                <w:szCs w:val="24"/>
              </w:rPr>
            </w:pPr>
            <w:proofErr w:type="spellStart"/>
            <w:r w:rsidRPr="00ED5BED">
              <w:rPr>
                <w:sz w:val="24"/>
                <w:szCs w:val="24"/>
              </w:rPr>
              <w:t>Филоненко</w:t>
            </w:r>
            <w:proofErr w:type="spellEnd"/>
            <w:r w:rsidRPr="00ED5BED">
              <w:rPr>
                <w:sz w:val="24"/>
                <w:szCs w:val="24"/>
              </w:rPr>
              <w:t xml:space="preserve"> В.Я.</w:t>
            </w:r>
          </w:p>
        </w:tc>
        <w:tc>
          <w:tcPr>
            <w:tcW w:w="1560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096B81" w:rsidRPr="00ED5BED" w:rsidRDefault="0049437D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15</w:t>
            </w:r>
          </w:p>
        </w:tc>
      </w:tr>
      <w:tr w:rsidR="00096B81" w:rsidRPr="00ED5BED" w:rsidTr="00B46CC1">
        <w:tc>
          <w:tcPr>
            <w:tcW w:w="785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6B81" w:rsidRPr="00ED5BED" w:rsidRDefault="00096B81" w:rsidP="00096B81">
            <w:pPr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Петровская Л.В.</w:t>
            </w:r>
          </w:p>
        </w:tc>
        <w:tc>
          <w:tcPr>
            <w:tcW w:w="1560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96B81" w:rsidRPr="00ED5BED" w:rsidRDefault="0049437D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15</w:t>
            </w:r>
          </w:p>
        </w:tc>
      </w:tr>
      <w:tr w:rsidR="00096B81" w:rsidRPr="00ED5BED" w:rsidTr="00B46CC1">
        <w:tc>
          <w:tcPr>
            <w:tcW w:w="785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6B81" w:rsidRPr="00ED5BED" w:rsidRDefault="00096B81" w:rsidP="00096B8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D5BED">
              <w:rPr>
                <w:sz w:val="24"/>
                <w:szCs w:val="24"/>
              </w:rPr>
              <w:t>Сердобинцева</w:t>
            </w:r>
            <w:proofErr w:type="spellEnd"/>
            <w:r w:rsidRPr="00ED5BED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96B81" w:rsidRPr="00ED5BED" w:rsidRDefault="0049437D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10,5</w:t>
            </w:r>
          </w:p>
        </w:tc>
      </w:tr>
      <w:tr w:rsidR="00096B81" w:rsidRPr="00ED5BED" w:rsidTr="00B46CC1">
        <w:tc>
          <w:tcPr>
            <w:tcW w:w="785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6B81" w:rsidRPr="00ED5BED" w:rsidRDefault="00096B81" w:rsidP="00096B81">
            <w:pPr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Ахмедова О.Д.</w:t>
            </w:r>
          </w:p>
        </w:tc>
        <w:tc>
          <w:tcPr>
            <w:tcW w:w="1560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B81" w:rsidRPr="00ED5BED" w:rsidRDefault="0049437D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11,2</w:t>
            </w:r>
          </w:p>
        </w:tc>
      </w:tr>
      <w:tr w:rsidR="00096B81" w:rsidRPr="00ED5BED" w:rsidTr="00B46CC1">
        <w:tc>
          <w:tcPr>
            <w:tcW w:w="785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096B81" w:rsidRPr="00ED5BED" w:rsidRDefault="00096B81" w:rsidP="00096B81">
            <w:pPr>
              <w:jc w:val="both"/>
              <w:rPr>
                <w:sz w:val="24"/>
                <w:szCs w:val="24"/>
              </w:rPr>
            </w:pPr>
            <w:proofErr w:type="spellStart"/>
            <w:r w:rsidRPr="00ED5BED">
              <w:rPr>
                <w:sz w:val="24"/>
                <w:szCs w:val="24"/>
              </w:rPr>
              <w:t>Манжула</w:t>
            </w:r>
            <w:proofErr w:type="spellEnd"/>
            <w:r w:rsidRPr="00ED5BED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60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96B81" w:rsidRPr="00ED5BED" w:rsidRDefault="0049437D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16</w:t>
            </w:r>
          </w:p>
        </w:tc>
      </w:tr>
      <w:tr w:rsidR="00096B81" w:rsidRPr="00ED5BED" w:rsidTr="00B46CC1">
        <w:tc>
          <w:tcPr>
            <w:tcW w:w="785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096B81" w:rsidRPr="00ED5BED" w:rsidRDefault="00096B81" w:rsidP="00096B81">
            <w:pPr>
              <w:jc w:val="both"/>
              <w:rPr>
                <w:sz w:val="24"/>
                <w:szCs w:val="24"/>
              </w:rPr>
            </w:pPr>
            <w:proofErr w:type="spellStart"/>
            <w:r w:rsidRPr="00ED5BED">
              <w:rPr>
                <w:sz w:val="24"/>
                <w:szCs w:val="24"/>
              </w:rPr>
              <w:t>Довгальс.Ф</w:t>
            </w:r>
            <w:proofErr w:type="spellEnd"/>
            <w:r w:rsidRPr="00ED5BE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96B81" w:rsidRPr="00ED5BED" w:rsidRDefault="0049437D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13,6</w:t>
            </w:r>
          </w:p>
        </w:tc>
      </w:tr>
      <w:tr w:rsidR="00096B81" w:rsidRPr="00ED5BED" w:rsidTr="00B46CC1">
        <w:tc>
          <w:tcPr>
            <w:tcW w:w="785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096B81" w:rsidRPr="00ED5BED" w:rsidRDefault="00096B81" w:rsidP="00096B81">
            <w:pPr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Карпенко Л.В.</w:t>
            </w:r>
          </w:p>
        </w:tc>
        <w:tc>
          <w:tcPr>
            <w:tcW w:w="1560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96B81" w:rsidRPr="00ED5BED" w:rsidRDefault="0049437D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14,5</w:t>
            </w:r>
          </w:p>
        </w:tc>
      </w:tr>
      <w:tr w:rsidR="00096B81" w:rsidRPr="00ED5BED" w:rsidTr="00B46CC1">
        <w:tc>
          <w:tcPr>
            <w:tcW w:w="785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096B81" w:rsidRPr="00ED5BED" w:rsidRDefault="00096B81" w:rsidP="00096B81">
            <w:pPr>
              <w:jc w:val="both"/>
              <w:rPr>
                <w:sz w:val="24"/>
                <w:szCs w:val="24"/>
              </w:rPr>
            </w:pPr>
            <w:proofErr w:type="spellStart"/>
            <w:r w:rsidRPr="00ED5BED">
              <w:rPr>
                <w:sz w:val="24"/>
                <w:szCs w:val="24"/>
              </w:rPr>
              <w:t>Максимец</w:t>
            </w:r>
            <w:proofErr w:type="spellEnd"/>
            <w:r w:rsidRPr="00ED5BED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560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96B81" w:rsidRPr="00ED5BED" w:rsidRDefault="0049437D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14</w:t>
            </w:r>
          </w:p>
        </w:tc>
      </w:tr>
      <w:tr w:rsidR="00096B81" w:rsidRPr="00ED5BED" w:rsidTr="00B46CC1">
        <w:tc>
          <w:tcPr>
            <w:tcW w:w="785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096B81" w:rsidRPr="00ED5BED" w:rsidRDefault="00096B81" w:rsidP="00096B81">
            <w:pPr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Андрющенко Е.В.</w:t>
            </w:r>
          </w:p>
        </w:tc>
        <w:tc>
          <w:tcPr>
            <w:tcW w:w="1560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96B81" w:rsidRPr="00ED5BED" w:rsidRDefault="0049437D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13,5</w:t>
            </w:r>
          </w:p>
        </w:tc>
      </w:tr>
      <w:tr w:rsidR="00096B81" w:rsidRPr="00ED5BED" w:rsidTr="00B46CC1">
        <w:tc>
          <w:tcPr>
            <w:tcW w:w="785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96B81" w:rsidRPr="00ED5BED" w:rsidRDefault="00096B81" w:rsidP="00096B81">
            <w:pPr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Чиж Г.В.</w:t>
            </w:r>
          </w:p>
        </w:tc>
        <w:tc>
          <w:tcPr>
            <w:tcW w:w="1560" w:type="dxa"/>
          </w:tcPr>
          <w:p w:rsidR="00096B81" w:rsidRPr="00ED5BED" w:rsidRDefault="0049437D" w:rsidP="0049437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D5BED">
              <w:rPr>
                <w:sz w:val="24"/>
                <w:szCs w:val="24"/>
              </w:rPr>
              <w:t>Не</w:t>
            </w:r>
            <w:r w:rsidR="006D068E" w:rsidRPr="00ED5BED">
              <w:rPr>
                <w:sz w:val="24"/>
                <w:szCs w:val="24"/>
              </w:rPr>
              <w:t xml:space="preserve"> </w:t>
            </w:r>
            <w:proofErr w:type="spellStart"/>
            <w:r w:rsidR="006D068E" w:rsidRPr="00ED5BED">
              <w:rPr>
                <w:sz w:val="24"/>
                <w:szCs w:val="24"/>
              </w:rPr>
              <w:t>у</w:t>
            </w:r>
            <w:r w:rsidRPr="00ED5BED">
              <w:rPr>
                <w:sz w:val="24"/>
                <w:szCs w:val="24"/>
              </w:rPr>
              <w:t>частв</w:t>
            </w:r>
            <w:proofErr w:type="spellEnd"/>
            <w:r w:rsidR="006D068E" w:rsidRPr="00ED5BE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6B81" w:rsidRPr="00ED5BED" w:rsidRDefault="00096B81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6D068E" w:rsidRPr="00ED5BED" w:rsidTr="00B46CC1">
        <w:tc>
          <w:tcPr>
            <w:tcW w:w="785" w:type="dxa"/>
          </w:tcPr>
          <w:p w:rsidR="006D068E" w:rsidRPr="00ED5BED" w:rsidRDefault="006D068E" w:rsidP="00530076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6D068E" w:rsidRPr="00ED5BED" w:rsidRDefault="006D068E" w:rsidP="006D068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D5BED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2693" w:type="dxa"/>
          </w:tcPr>
          <w:p w:rsidR="006D068E" w:rsidRPr="00ED5BED" w:rsidRDefault="006D068E" w:rsidP="00096B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68E" w:rsidRPr="00ED5BED" w:rsidRDefault="006D068E" w:rsidP="0049437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8E" w:rsidRPr="00ED5BED" w:rsidRDefault="006D068E" w:rsidP="00530076">
            <w:pPr>
              <w:pStyle w:val="a3"/>
              <w:ind w:left="0"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8E" w:rsidRPr="00ED5BED" w:rsidRDefault="00ED5BED" w:rsidP="00530076">
            <w:pPr>
              <w:pStyle w:val="a3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ED5BED">
              <w:rPr>
                <w:b/>
                <w:sz w:val="24"/>
                <w:szCs w:val="24"/>
              </w:rPr>
              <w:t>13,3</w:t>
            </w:r>
          </w:p>
        </w:tc>
      </w:tr>
    </w:tbl>
    <w:p w:rsidR="00661F2B" w:rsidRPr="00ED5BED" w:rsidRDefault="00661F2B" w:rsidP="00661F2B">
      <w:pPr>
        <w:jc w:val="both"/>
      </w:pPr>
    </w:p>
    <w:p w:rsidR="00661F2B" w:rsidRPr="00ED5BED" w:rsidRDefault="00661F2B" w:rsidP="00530076">
      <w:pPr>
        <w:pStyle w:val="a3"/>
        <w:ind w:left="784" w:firstLine="284"/>
        <w:jc w:val="both"/>
      </w:pPr>
    </w:p>
    <w:p w:rsidR="00661F2B" w:rsidRPr="00ED5BED" w:rsidRDefault="00661F2B" w:rsidP="00530076">
      <w:pPr>
        <w:pStyle w:val="a3"/>
        <w:ind w:left="784" w:firstLine="284"/>
        <w:jc w:val="both"/>
      </w:pPr>
      <w:bookmarkStart w:id="0" w:name="_GoBack"/>
      <w:r w:rsidRPr="00ED5BED">
        <w:rPr>
          <w:noProof/>
        </w:rPr>
        <w:lastRenderedPageBreak/>
        <w:drawing>
          <wp:inline distT="0" distB="0" distL="0" distR="0">
            <wp:extent cx="4752975" cy="24288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661F2B" w:rsidRPr="00ED5BED" w:rsidRDefault="00661F2B" w:rsidP="00530076">
      <w:pPr>
        <w:pStyle w:val="a3"/>
        <w:ind w:left="784" w:firstLine="284"/>
        <w:jc w:val="both"/>
      </w:pPr>
    </w:p>
    <w:p w:rsidR="0018155A" w:rsidRPr="00ED5BED" w:rsidRDefault="009B4613" w:rsidP="00530076">
      <w:pPr>
        <w:ind w:firstLine="284"/>
        <w:jc w:val="both"/>
      </w:pPr>
      <w:r w:rsidRPr="00ED5BED">
        <w:t>Качество выполнения работы</w:t>
      </w:r>
      <w:r w:rsidR="006C5FDD" w:rsidRPr="00ED5BED">
        <w:t xml:space="preserve"> оценивалось по количеству учащихся, набравших от 17 баллов. Таких учащихся -16</w:t>
      </w:r>
      <w:r w:rsidR="0091262C" w:rsidRPr="00ED5BED">
        <w:t xml:space="preserve"> человек, что составило 29%. Такие результаты говорят о том, что есть </w:t>
      </w:r>
      <w:r w:rsidR="0018155A" w:rsidRPr="00ED5BED">
        <w:t>ученики,</w:t>
      </w:r>
      <w:r w:rsidR="0091262C" w:rsidRPr="00ED5BED">
        <w:t xml:space="preserve"> которые сделали свой выбор осознанно и целенаправленно</w:t>
      </w:r>
      <w:r w:rsidR="0018155A" w:rsidRPr="00ED5BED">
        <w:t>, готовятся к экзамену серьезно  и ответственно и стремятся к высоким результатам. Однако имеются ученики, набравшие менее 10 баллов-11 учеников – 20% которые к экзамену не готовятся и считают</w:t>
      </w:r>
      <w:r w:rsidR="00530076" w:rsidRPr="00ED5BED">
        <w:t>,</w:t>
      </w:r>
      <w:r w:rsidR="0018155A" w:rsidRPr="00ED5BED">
        <w:t xml:space="preserve"> что подготовки на уроке </w:t>
      </w:r>
      <w:r w:rsidR="00530076" w:rsidRPr="00ED5BED">
        <w:t>достаточно,</w:t>
      </w:r>
      <w:r w:rsidR="0018155A" w:rsidRPr="00ED5BED">
        <w:t xml:space="preserve"> и они смогут пройти порог успешности.</w:t>
      </w:r>
    </w:p>
    <w:p w:rsidR="009B4613" w:rsidRPr="00ED5BED" w:rsidRDefault="006C5FDD" w:rsidP="00530076">
      <w:pPr>
        <w:ind w:firstLine="284"/>
        <w:jc w:val="both"/>
      </w:pPr>
      <w:r w:rsidRPr="00ED5BED">
        <w:t>Среднерайонный % качества с</w:t>
      </w:r>
      <w:r w:rsidR="00BE6F1C" w:rsidRPr="00ED5BED">
        <w:t>оставляет 22</w:t>
      </w:r>
      <w:r w:rsidRPr="00ED5BED">
        <w:t>,4</w:t>
      </w:r>
      <w:r w:rsidR="009B4613" w:rsidRPr="00ED5BED">
        <w:t>%.</w:t>
      </w:r>
      <w:r w:rsidRPr="00ED5BED">
        <w:t xml:space="preserve"> Выше </w:t>
      </w:r>
      <w:proofErr w:type="spellStart"/>
      <w:r w:rsidRPr="00ED5BED">
        <w:t>среднерайонного</w:t>
      </w:r>
      <w:proofErr w:type="spellEnd"/>
      <w:r w:rsidRPr="00ED5BED">
        <w:t xml:space="preserve"> % качества получили школы  МБОУ СОШ № 4 , что составило 44%, МБОУ </w:t>
      </w:r>
      <w:r w:rsidR="00BE6F1C" w:rsidRPr="00ED5BED">
        <w:t>С</w:t>
      </w:r>
      <w:r w:rsidRPr="00ED5BED">
        <w:t>ОШ№16- 50%, МБОУ СОШ №20- 33%, МБОУ СОШ №23- 50%, МБОУ СОШ №30-33%, МБОУ СОШ №33- 25%.</w:t>
      </w:r>
    </w:p>
    <w:p w:rsidR="00BE6F1C" w:rsidRPr="00ED5BED" w:rsidRDefault="00BE6F1C" w:rsidP="00530076">
      <w:pPr>
        <w:ind w:firstLine="284"/>
        <w:jc w:val="both"/>
      </w:pPr>
      <w:r w:rsidRPr="00ED5BED">
        <w:t xml:space="preserve">Средний балл по району – 13,3. </w:t>
      </w:r>
      <w:proofErr w:type="gramStart"/>
      <w:r w:rsidRPr="00ED5BED">
        <w:t>Выше районного балла следующие школы:</w:t>
      </w:r>
      <w:proofErr w:type="gramEnd"/>
      <w:r w:rsidRPr="00ED5B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СОШ №4-15баллов</w:t>
      </w:r>
    </w:p>
    <w:p w:rsidR="00BE6F1C" w:rsidRPr="00ED5BED" w:rsidRDefault="00BE6F1C" w:rsidP="00530076">
      <w:pPr>
        <w:pStyle w:val="a3"/>
        <w:ind w:left="784" w:firstLine="284"/>
        <w:jc w:val="both"/>
      </w:pPr>
      <w:r w:rsidRPr="00ED5BED">
        <w:t>МБОУ СОШ №5-</w:t>
      </w:r>
      <w:r w:rsidR="0049437D" w:rsidRPr="00ED5BED">
        <w:t xml:space="preserve">  </w:t>
      </w:r>
      <w:r w:rsidRPr="00ED5BED">
        <w:t>15баллов</w:t>
      </w:r>
    </w:p>
    <w:p w:rsidR="008E009C" w:rsidRPr="00ED5BED" w:rsidRDefault="0049437D" w:rsidP="008E009C">
      <w:pPr>
        <w:pStyle w:val="a3"/>
        <w:ind w:left="784" w:firstLine="284"/>
        <w:jc w:val="both"/>
      </w:pPr>
      <w:r w:rsidRPr="00ED5BED">
        <w:t xml:space="preserve">МБОУ СОШ №4-  </w:t>
      </w:r>
      <w:r w:rsidR="008E009C" w:rsidRPr="00ED5BED">
        <w:t>15баллов</w:t>
      </w:r>
    </w:p>
    <w:p w:rsidR="00BE6F1C" w:rsidRPr="00ED5BED" w:rsidRDefault="00BE6F1C" w:rsidP="00530076">
      <w:pPr>
        <w:pStyle w:val="a3"/>
        <w:ind w:left="784" w:firstLine="284"/>
        <w:jc w:val="both"/>
      </w:pPr>
      <w:r w:rsidRPr="00ED5BED">
        <w:t>МБОУ СОШ №16-16 баллов</w:t>
      </w:r>
    </w:p>
    <w:p w:rsidR="00BE6F1C" w:rsidRPr="00ED5BED" w:rsidRDefault="00BE6F1C" w:rsidP="00530076">
      <w:pPr>
        <w:pStyle w:val="a3"/>
        <w:ind w:left="784" w:firstLine="284"/>
        <w:jc w:val="both"/>
      </w:pPr>
      <w:r w:rsidRPr="00ED5BED">
        <w:t>МБОУ СОШ №20-13,6 баллов</w:t>
      </w:r>
    </w:p>
    <w:p w:rsidR="00BE6F1C" w:rsidRPr="00ED5BED" w:rsidRDefault="00BE6F1C" w:rsidP="00530076">
      <w:pPr>
        <w:pStyle w:val="a3"/>
        <w:ind w:left="784" w:firstLine="284"/>
        <w:jc w:val="both"/>
      </w:pPr>
      <w:r w:rsidRPr="00ED5BED">
        <w:t>МБОУ СОШ №23-14,5 баллов</w:t>
      </w:r>
    </w:p>
    <w:p w:rsidR="00BE6F1C" w:rsidRPr="00ED5BED" w:rsidRDefault="00BE6F1C" w:rsidP="00530076">
      <w:pPr>
        <w:pStyle w:val="a3"/>
        <w:ind w:left="784" w:firstLine="284"/>
        <w:jc w:val="both"/>
      </w:pPr>
      <w:r w:rsidRPr="00ED5BED">
        <w:t>МБОУ СОШ №30-14 баллов</w:t>
      </w:r>
    </w:p>
    <w:p w:rsidR="0091262C" w:rsidRDefault="00BE6F1C" w:rsidP="00530076">
      <w:pPr>
        <w:pStyle w:val="a3"/>
        <w:ind w:left="784" w:firstLine="284"/>
        <w:jc w:val="both"/>
      </w:pPr>
      <w:r w:rsidRPr="00ED5BED">
        <w:t>МБОУ СОШ №33-13,5 баллов.</w:t>
      </w:r>
    </w:p>
    <w:p w:rsidR="00ED5BED" w:rsidRPr="00ED5BED" w:rsidRDefault="00ED5BED" w:rsidP="00530076">
      <w:pPr>
        <w:pStyle w:val="a3"/>
        <w:ind w:left="784" w:firstLine="284"/>
        <w:jc w:val="both"/>
      </w:pPr>
    </w:p>
    <w:p w:rsidR="008E009C" w:rsidRPr="00ED5BED" w:rsidRDefault="008E009C" w:rsidP="00530076">
      <w:pPr>
        <w:pStyle w:val="a3"/>
        <w:ind w:left="784" w:firstLine="284"/>
        <w:jc w:val="both"/>
      </w:pPr>
      <w:r w:rsidRPr="00ED5BED">
        <w:rPr>
          <w:noProof/>
        </w:rPr>
        <w:drawing>
          <wp:inline distT="0" distB="0" distL="0" distR="0">
            <wp:extent cx="4524375" cy="24098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009C" w:rsidRPr="00ED5BED" w:rsidRDefault="008E009C" w:rsidP="00530076">
      <w:pPr>
        <w:pStyle w:val="a3"/>
        <w:ind w:left="784" w:firstLine="284"/>
        <w:jc w:val="both"/>
      </w:pPr>
    </w:p>
    <w:p w:rsidR="008E009C" w:rsidRPr="00ED5BED" w:rsidRDefault="008E009C" w:rsidP="00530076">
      <w:pPr>
        <w:pStyle w:val="a3"/>
        <w:ind w:left="784" w:firstLine="284"/>
        <w:jc w:val="both"/>
      </w:pPr>
    </w:p>
    <w:p w:rsidR="008E009C" w:rsidRPr="00ED5BED" w:rsidRDefault="008E009C" w:rsidP="00530076">
      <w:pPr>
        <w:pStyle w:val="a3"/>
        <w:ind w:left="784" w:firstLine="284"/>
        <w:jc w:val="both"/>
      </w:pPr>
    </w:p>
    <w:p w:rsidR="0099374C" w:rsidRPr="00ED5BED" w:rsidRDefault="0099374C" w:rsidP="00530076">
      <w:pPr>
        <w:pStyle w:val="a3"/>
        <w:ind w:left="784" w:firstLine="284"/>
        <w:jc w:val="both"/>
      </w:pPr>
      <w:r w:rsidRPr="00ED5BED">
        <w:rPr>
          <w:noProof/>
        </w:rPr>
        <w:lastRenderedPageBreak/>
        <w:drawing>
          <wp:inline distT="0" distB="0" distL="0" distR="0">
            <wp:extent cx="4400550" cy="2438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4CA1" w:rsidRPr="00ED5BED" w:rsidRDefault="002D4CA1" w:rsidP="00530076">
      <w:pPr>
        <w:ind w:firstLine="284"/>
        <w:jc w:val="both"/>
        <w:rPr>
          <w:bCs/>
          <w:iCs/>
        </w:rPr>
      </w:pPr>
      <w:r w:rsidRPr="00ED5BED">
        <w:rPr>
          <w:bCs/>
          <w:iCs/>
        </w:rPr>
        <w:t xml:space="preserve">   Таким образом, основные причины низкого качества осв</w:t>
      </w:r>
      <w:r w:rsidR="0018155A" w:rsidRPr="00ED5BED">
        <w:rPr>
          <w:bCs/>
          <w:iCs/>
        </w:rPr>
        <w:t>оения учащимися базового уровня является:</w:t>
      </w:r>
    </w:p>
    <w:p w:rsidR="002D4CA1" w:rsidRPr="00ED5BED" w:rsidRDefault="002D4CA1" w:rsidP="00530076">
      <w:pPr>
        <w:ind w:firstLine="284"/>
        <w:jc w:val="both"/>
      </w:pPr>
      <w:r w:rsidRPr="00ED5BED">
        <w:t xml:space="preserve">   1.Недостаточная мотивация учащихся на успешную сдачу экзамена (неактуальность результата для ученика, так как он не оказывает существенного влияния на аттестационную оценку). Предмет выбирается неосознанно, по «остаточному» принципу и учащийся не посещает факультативные занятия по подготовке к ЕГЭ </w:t>
      </w:r>
    </w:p>
    <w:p w:rsidR="002D4CA1" w:rsidRPr="00ED5BED" w:rsidRDefault="005439A4" w:rsidP="00530076">
      <w:pPr>
        <w:ind w:firstLine="284"/>
        <w:jc w:val="both"/>
        <w:rPr>
          <w:bCs/>
          <w:iCs/>
        </w:rPr>
      </w:pPr>
      <w:r>
        <w:rPr>
          <w:bCs/>
          <w:iCs/>
        </w:rPr>
        <w:t xml:space="preserve">   2.Учащиеся</w:t>
      </w:r>
      <w:r w:rsidR="00DD32C0" w:rsidRPr="00ED5BED">
        <w:rPr>
          <w:bCs/>
          <w:iCs/>
        </w:rPr>
        <w:t xml:space="preserve"> </w:t>
      </w:r>
      <w:r>
        <w:rPr>
          <w:bCs/>
          <w:iCs/>
        </w:rPr>
        <w:t>должны делать</w:t>
      </w:r>
      <w:r w:rsidR="00DD32C0" w:rsidRPr="00ED5BED">
        <w:rPr>
          <w:bCs/>
          <w:iCs/>
        </w:rPr>
        <w:t xml:space="preserve"> выбор, не </w:t>
      </w:r>
      <w:r>
        <w:rPr>
          <w:bCs/>
          <w:iCs/>
        </w:rPr>
        <w:t>в 11классе, а уже в 9 классе сдавать физику ТЭК</w:t>
      </w:r>
      <w:r w:rsidR="00DD32C0" w:rsidRPr="00ED5BED">
        <w:rPr>
          <w:bCs/>
          <w:iCs/>
        </w:rPr>
        <w:t xml:space="preserve">, </w:t>
      </w:r>
      <w:r>
        <w:rPr>
          <w:bCs/>
          <w:iCs/>
        </w:rPr>
        <w:t xml:space="preserve">а выбор в 11классе, да еще в феврале, </w:t>
      </w:r>
      <w:r w:rsidR="00DD32C0" w:rsidRPr="00ED5BED">
        <w:rPr>
          <w:bCs/>
          <w:iCs/>
        </w:rPr>
        <w:t>что приводит к несистематической подготовке к экзамену тем самым</w:t>
      </w:r>
      <w:r w:rsidR="002D4CA1" w:rsidRPr="00ED5BED">
        <w:rPr>
          <w:bCs/>
          <w:iCs/>
        </w:rPr>
        <w:t xml:space="preserve"> не успевая повторить темы, изучающиеся в 10 классе (механика, законы сохранения).  </w:t>
      </w:r>
    </w:p>
    <w:p w:rsidR="002D4CA1" w:rsidRPr="00ED5BED" w:rsidRDefault="00DD32C0" w:rsidP="00530076">
      <w:pPr>
        <w:ind w:firstLine="284"/>
        <w:jc w:val="both"/>
        <w:rPr>
          <w:bCs/>
          <w:iCs/>
        </w:rPr>
      </w:pPr>
      <w:r w:rsidRPr="00ED5BED">
        <w:rPr>
          <w:bCs/>
          <w:iCs/>
        </w:rPr>
        <w:t>3</w:t>
      </w:r>
      <w:r w:rsidR="002D4CA1" w:rsidRPr="00ED5BED">
        <w:rPr>
          <w:bCs/>
          <w:iCs/>
        </w:rPr>
        <w:t xml:space="preserve">.Двухчасовая программа по физике не позволяет качественно подготовить учащихся к ЕГЭ (даже на базовом уровне), так как не выделено время на </w:t>
      </w:r>
      <w:r w:rsidR="005439A4">
        <w:rPr>
          <w:bCs/>
          <w:iCs/>
        </w:rPr>
        <w:t>повторение изученного материала, поэтому нужно проводить разноуровневые уроки, задавать разноуровневые домашние задания,</w:t>
      </w:r>
      <w:r w:rsidR="00FE2FD1">
        <w:rPr>
          <w:bCs/>
          <w:iCs/>
        </w:rPr>
        <w:t xml:space="preserve"> </w:t>
      </w:r>
      <w:r w:rsidR="005439A4">
        <w:rPr>
          <w:bCs/>
          <w:iCs/>
        </w:rPr>
        <w:t>проводить</w:t>
      </w:r>
      <w:r w:rsidR="00FE2FD1">
        <w:rPr>
          <w:bCs/>
          <w:iCs/>
        </w:rPr>
        <w:t xml:space="preserve"> 5 –</w:t>
      </w:r>
      <w:proofErr w:type="spellStart"/>
      <w:r w:rsidR="00FE2FD1">
        <w:rPr>
          <w:bCs/>
          <w:iCs/>
        </w:rPr>
        <w:t>ти</w:t>
      </w:r>
      <w:proofErr w:type="spellEnd"/>
      <w:r w:rsidR="00FE2FD1">
        <w:rPr>
          <w:bCs/>
          <w:iCs/>
        </w:rPr>
        <w:t xml:space="preserve"> </w:t>
      </w:r>
      <w:r w:rsidR="005439A4">
        <w:rPr>
          <w:bCs/>
          <w:iCs/>
        </w:rPr>
        <w:t>мину</w:t>
      </w:r>
      <w:r w:rsidR="00FE2FD1">
        <w:rPr>
          <w:bCs/>
          <w:iCs/>
        </w:rPr>
        <w:t xml:space="preserve">тную устную работу. </w:t>
      </w:r>
      <w:r w:rsidR="005439A4">
        <w:rPr>
          <w:bCs/>
          <w:iCs/>
        </w:rPr>
        <w:t xml:space="preserve"> </w:t>
      </w:r>
    </w:p>
    <w:p w:rsidR="00BE6F1C" w:rsidRPr="00ED5BED" w:rsidRDefault="0091262C" w:rsidP="00530076">
      <w:pPr>
        <w:pStyle w:val="a3"/>
        <w:ind w:left="0" w:firstLine="284"/>
        <w:jc w:val="both"/>
        <w:rPr>
          <w:b/>
        </w:rPr>
      </w:pPr>
      <w:r w:rsidRPr="00ED5BED">
        <w:rPr>
          <w:b/>
        </w:rPr>
        <w:t>Методические рекомендации:</w:t>
      </w:r>
    </w:p>
    <w:p w:rsidR="00DD32C0" w:rsidRPr="00ED5BED" w:rsidRDefault="00DD32C0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lang w:eastAsia="en-US"/>
        </w:rPr>
        <w:t>1. В ходе организации подготовки учащихся к выполнению заданий части</w:t>
      </w:r>
      <w:proofErr w:type="gramStart"/>
      <w:r w:rsidRPr="00ED5BED">
        <w:rPr>
          <w:rFonts w:eastAsiaTheme="minorHAnsi"/>
          <w:lang w:eastAsia="en-US"/>
        </w:rPr>
        <w:t xml:space="preserve"> А</w:t>
      </w:r>
      <w:proofErr w:type="gramEnd"/>
      <w:r w:rsidRPr="00ED5BED">
        <w:rPr>
          <w:rFonts w:eastAsiaTheme="minorHAnsi"/>
          <w:lang w:eastAsia="en-US"/>
        </w:rPr>
        <w:t xml:space="preserve"> экзаменационной работы важно обращать внимание на необходимость включения в текущую работу с учащимися заданий разных типологических групп, классифицированных</w:t>
      </w:r>
    </w:p>
    <w:p w:rsidR="00DD32C0" w:rsidRPr="00ED5BED" w:rsidRDefault="00DD32C0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i/>
          <w:iCs/>
          <w:lang w:eastAsia="en-US"/>
        </w:rPr>
        <w:t xml:space="preserve">- по структуре </w:t>
      </w:r>
      <w:r w:rsidRPr="00ED5BED">
        <w:rPr>
          <w:rFonts w:eastAsiaTheme="minorHAnsi"/>
          <w:lang w:eastAsia="en-US"/>
        </w:rPr>
        <w:t xml:space="preserve">(различные типы </w:t>
      </w:r>
      <w:proofErr w:type="spellStart"/>
      <w:r w:rsidRPr="00ED5BED">
        <w:rPr>
          <w:rFonts w:eastAsiaTheme="minorHAnsi"/>
          <w:lang w:eastAsia="en-US"/>
        </w:rPr>
        <w:t>дистракторов</w:t>
      </w:r>
      <w:proofErr w:type="spellEnd"/>
      <w:r w:rsidRPr="00ED5BED">
        <w:rPr>
          <w:rFonts w:eastAsiaTheme="minorHAnsi"/>
          <w:lang w:eastAsia="en-US"/>
        </w:rPr>
        <w:t xml:space="preserve"> – вариантов ответов);</w:t>
      </w:r>
    </w:p>
    <w:p w:rsidR="00DD32C0" w:rsidRPr="00ED5BED" w:rsidRDefault="00DD32C0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i/>
          <w:iCs/>
          <w:lang w:eastAsia="en-US"/>
        </w:rPr>
        <w:t xml:space="preserve">- по уровню сложности </w:t>
      </w:r>
      <w:r w:rsidRPr="00ED5BED">
        <w:rPr>
          <w:rFonts w:eastAsiaTheme="minorHAnsi"/>
          <w:lang w:eastAsia="en-US"/>
        </w:rPr>
        <w:t>(</w:t>
      </w:r>
      <w:proofErr w:type="gramStart"/>
      <w:r w:rsidRPr="00ED5BED">
        <w:rPr>
          <w:rFonts w:eastAsiaTheme="minorHAnsi"/>
          <w:lang w:eastAsia="en-US"/>
        </w:rPr>
        <w:t>базовый</w:t>
      </w:r>
      <w:proofErr w:type="gramEnd"/>
      <w:r w:rsidRPr="00ED5BED">
        <w:rPr>
          <w:rFonts w:eastAsiaTheme="minorHAnsi"/>
          <w:lang w:eastAsia="en-US"/>
        </w:rPr>
        <w:t xml:space="preserve"> и повышенный);</w:t>
      </w:r>
    </w:p>
    <w:p w:rsidR="00DD32C0" w:rsidRPr="00ED5BED" w:rsidRDefault="00DD32C0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proofErr w:type="gramStart"/>
      <w:r w:rsidRPr="00ED5BED">
        <w:rPr>
          <w:rFonts w:eastAsiaTheme="minorHAnsi"/>
          <w:i/>
          <w:iCs/>
          <w:lang w:eastAsia="en-US"/>
        </w:rPr>
        <w:t xml:space="preserve">- по разделам (темам) курса физики </w:t>
      </w:r>
      <w:r w:rsidRPr="00ED5BED">
        <w:rPr>
          <w:rFonts w:eastAsiaTheme="minorHAnsi"/>
          <w:lang w:eastAsia="en-US"/>
        </w:rPr>
        <w:t>(«Механика», «МКТ и термодинамика», «Электродинамика», «Квантовая физика», «Методы научного познания»);</w:t>
      </w:r>
      <w:proofErr w:type="gramEnd"/>
    </w:p>
    <w:p w:rsidR="00DD32C0" w:rsidRPr="00ED5BED" w:rsidRDefault="00DD32C0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i/>
          <w:iCs/>
          <w:lang w:eastAsia="en-US"/>
        </w:rPr>
        <w:t xml:space="preserve">- по проверяемым умениям </w:t>
      </w:r>
      <w:r w:rsidRPr="00ED5BED">
        <w:rPr>
          <w:rFonts w:eastAsiaTheme="minorHAnsi"/>
          <w:lang w:eastAsia="en-US"/>
        </w:rPr>
        <w:t>(владение основным понятийным аппаратом школьного курса физики: понимание смысла физических понятий, моделей, явлений, величин, законов, принципов, постулатов; владение основами знаний о методах научного познания; решение расчётных задач);</w:t>
      </w:r>
    </w:p>
    <w:p w:rsidR="00DD32C0" w:rsidRPr="00ED5BED" w:rsidRDefault="00DD32C0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proofErr w:type="gramStart"/>
      <w:r w:rsidRPr="00ED5BED">
        <w:rPr>
          <w:rFonts w:eastAsiaTheme="minorHAnsi"/>
          <w:i/>
          <w:iCs/>
          <w:lang w:eastAsia="en-US"/>
        </w:rPr>
        <w:t xml:space="preserve">- по способам представления информации </w:t>
      </w:r>
      <w:r w:rsidRPr="00ED5BED">
        <w:rPr>
          <w:rFonts w:eastAsiaTheme="minorHAnsi"/>
          <w:lang w:eastAsia="en-US"/>
        </w:rPr>
        <w:t>(словесное описание, график, формула, таблица, рисунок, схема, диаграмма).</w:t>
      </w:r>
      <w:proofErr w:type="gramEnd"/>
    </w:p>
    <w:p w:rsidR="00DD32C0" w:rsidRPr="00ED5BED" w:rsidRDefault="0091262C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lang w:eastAsia="en-US"/>
        </w:rPr>
        <w:t xml:space="preserve">2. При выполнении </w:t>
      </w:r>
      <w:r w:rsidR="00DD32C0" w:rsidRPr="00ED5BED">
        <w:rPr>
          <w:rFonts w:eastAsiaTheme="minorHAnsi"/>
          <w:lang w:eastAsia="en-US"/>
        </w:rPr>
        <w:t xml:space="preserve"> работы учащимся очень важно выдерживать временной регламент, быстро переключаться с одной темы на другую. Очевидно, эти параметры следует жёстко соблюдать при проведении текущего и промежуточного контроля. Учащиеся должны привыкнуть к тому, что на экзамене имеют большое значение не только их знания, но и организованность, внимательность, умение сосредотачиваться.</w:t>
      </w:r>
    </w:p>
    <w:p w:rsidR="00DD32C0" w:rsidRPr="00ED5BED" w:rsidRDefault="0091262C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lang w:eastAsia="en-US"/>
        </w:rPr>
        <w:t>3</w:t>
      </w:r>
      <w:r w:rsidR="00DD32C0" w:rsidRPr="00ED5BED">
        <w:rPr>
          <w:rFonts w:eastAsiaTheme="minorHAnsi"/>
          <w:lang w:eastAsia="en-US"/>
        </w:rPr>
        <w:t>. Многие</w:t>
      </w:r>
      <w:r w:rsidR="0018155A" w:rsidRPr="00ED5BED">
        <w:rPr>
          <w:rFonts w:eastAsiaTheme="minorHAnsi"/>
          <w:lang w:eastAsia="en-US"/>
        </w:rPr>
        <w:t xml:space="preserve"> ошибки учениками</w:t>
      </w:r>
      <w:r w:rsidR="00DD32C0" w:rsidRPr="00ED5BED">
        <w:rPr>
          <w:rFonts w:eastAsiaTheme="minorHAnsi"/>
          <w:lang w:eastAsia="en-US"/>
        </w:rPr>
        <w:t xml:space="preserve"> были вызваны невнимательным</w:t>
      </w:r>
      <w:r w:rsidR="00ED5BED">
        <w:rPr>
          <w:rFonts w:eastAsiaTheme="minorHAnsi"/>
          <w:lang w:eastAsia="en-US"/>
        </w:rPr>
        <w:t xml:space="preserve"> </w:t>
      </w:r>
      <w:r w:rsidR="00DD32C0" w:rsidRPr="00ED5BED">
        <w:rPr>
          <w:rFonts w:eastAsiaTheme="minorHAnsi"/>
          <w:lang w:eastAsia="en-US"/>
        </w:rPr>
        <w:t xml:space="preserve">прочтением условия задачи (не обратил внимания на частицу «не» или спутал увеличение с уменьшением) или тем, что они останавливались на первом же варианте ответа, который казался правдоподобным, не дочитывая внимательно до конца все последующие варианты ответов. </w:t>
      </w:r>
    </w:p>
    <w:p w:rsidR="0091262C" w:rsidRPr="00ED5BED" w:rsidRDefault="0091262C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lang w:eastAsia="en-US"/>
        </w:rPr>
        <w:t xml:space="preserve">4. При выполнении </w:t>
      </w:r>
      <w:r w:rsidR="00DD32C0" w:rsidRPr="00ED5BED">
        <w:rPr>
          <w:rFonts w:eastAsiaTheme="minorHAnsi"/>
          <w:lang w:eastAsia="en-US"/>
        </w:rPr>
        <w:t xml:space="preserve"> работы многие выпускники пытались угадывать ответ. В условиях, когда за неверный ответ не ставят штрафные баллы, эта тактика на экзамене может иметь некоторый успех. Тем не </w:t>
      </w:r>
      <w:r w:rsidRPr="00ED5BED">
        <w:rPr>
          <w:rFonts w:eastAsiaTheme="minorHAnsi"/>
          <w:lang w:eastAsia="en-US"/>
        </w:rPr>
        <w:t>менее,</w:t>
      </w:r>
      <w:r w:rsidR="00DD32C0" w:rsidRPr="00ED5BED">
        <w:rPr>
          <w:rFonts w:eastAsiaTheme="minorHAnsi"/>
          <w:lang w:eastAsia="en-US"/>
        </w:rPr>
        <w:t xml:space="preserve"> в ходе подготовки необходимо обязательно требо</w:t>
      </w:r>
      <w:r w:rsidRPr="00ED5BED">
        <w:rPr>
          <w:rFonts w:eastAsiaTheme="minorHAnsi"/>
          <w:lang w:eastAsia="en-US"/>
        </w:rPr>
        <w:t xml:space="preserve">вать обоснование выбора. </w:t>
      </w:r>
    </w:p>
    <w:p w:rsidR="00DD32C0" w:rsidRPr="00ED5BED" w:rsidRDefault="00DD32C0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lang w:eastAsia="en-US"/>
        </w:rPr>
        <w:t xml:space="preserve"> В части</w:t>
      </w:r>
      <w:proofErr w:type="gramStart"/>
      <w:r w:rsidRPr="00ED5BED">
        <w:rPr>
          <w:rFonts w:eastAsiaTheme="minorHAnsi"/>
          <w:lang w:eastAsia="en-US"/>
        </w:rPr>
        <w:t xml:space="preserve"> В</w:t>
      </w:r>
      <w:proofErr w:type="gramEnd"/>
      <w:r w:rsidRPr="00ED5BED">
        <w:rPr>
          <w:rFonts w:eastAsiaTheme="minorHAnsi"/>
          <w:lang w:eastAsia="en-US"/>
        </w:rPr>
        <w:t xml:space="preserve"> первые два задания – В1 и В2 – являются заданиями базового уровня на установление соответствия: в таблице имеется два столбца с некоторым количеством физических понятий (величин, формул, высказываний и т.д.); в первом столбце позиции обозначены буквами, во втором столбце – цифрами; к каждой позиции первого столбц</w:t>
      </w:r>
      <w:r w:rsidR="00FE2FD1" w:rsidRPr="00ED5BED">
        <w:rPr>
          <w:rFonts w:eastAsiaTheme="minorHAnsi"/>
          <w:lang w:eastAsia="en-US"/>
        </w:rPr>
        <w:t>а (</w:t>
      </w:r>
      <w:r w:rsidRPr="00ED5BED">
        <w:rPr>
          <w:rFonts w:eastAsiaTheme="minorHAnsi"/>
          <w:lang w:eastAsia="en-US"/>
        </w:rPr>
        <w:t>букве) необходимо подобрать соответствующую позицию второго</w:t>
      </w:r>
    </w:p>
    <w:p w:rsidR="0091262C" w:rsidRPr="00ED5BED" w:rsidRDefault="00DD32C0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lang w:eastAsia="en-US"/>
        </w:rPr>
        <w:lastRenderedPageBreak/>
        <w:t xml:space="preserve">(цифру). Ответ </w:t>
      </w:r>
      <w:proofErr w:type="gramStart"/>
      <w:r w:rsidRPr="00ED5BED">
        <w:rPr>
          <w:rFonts w:eastAsiaTheme="minorHAnsi"/>
          <w:lang w:eastAsia="en-US"/>
        </w:rPr>
        <w:t>представляет из себя</w:t>
      </w:r>
      <w:proofErr w:type="gramEnd"/>
      <w:r w:rsidRPr="00ED5BED">
        <w:rPr>
          <w:rFonts w:eastAsiaTheme="minorHAnsi"/>
          <w:lang w:eastAsia="en-US"/>
        </w:rPr>
        <w:t xml:space="preserve"> цифровой код, который записывается без пробелов. Все задания на установление соответствий оцениваются от 0 до 2 баллов. </w:t>
      </w:r>
    </w:p>
    <w:p w:rsidR="00530076" w:rsidRPr="00ED5BED" w:rsidRDefault="00530076" w:rsidP="0053007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ED5BED">
        <w:rPr>
          <w:rFonts w:eastAsiaTheme="minorHAnsi"/>
          <w:lang w:eastAsia="en-US"/>
        </w:rPr>
        <w:t xml:space="preserve">Необходимо спланировать следующие мероприятия </w:t>
      </w:r>
      <w:r w:rsidRPr="00ED5BED">
        <w:t>к проведению государственной (итоговой) аттестации по материалам и в форме ЕГЭ:</w:t>
      </w:r>
    </w:p>
    <w:p w:rsidR="00530076" w:rsidRPr="00ED5BED" w:rsidRDefault="00530076" w:rsidP="00530076">
      <w:pPr>
        <w:numPr>
          <w:ilvl w:val="0"/>
          <w:numId w:val="1"/>
        </w:numPr>
        <w:ind w:firstLine="284"/>
        <w:jc w:val="both"/>
      </w:pPr>
      <w:r w:rsidRPr="00ED5BED">
        <w:t>Сформировать нормативно – правовую базу (приказы, инструкции, письма);</w:t>
      </w:r>
    </w:p>
    <w:p w:rsidR="00530076" w:rsidRPr="00ED5BED" w:rsidRDefault="00530076" w:rsidP="00530076">
      <w:pPr>
        <w:numPr>
          <w:ilvl w:val="0"/>
          <w:numId w:val="1"/>
        </w:numPr>
        <w:ind w:firstLine="284"/>
        <w:jc w:val="both"/>
      </w:pPr>
      <w:r w:rsidRPr="00ED5BED">
        <w:t>Сформировать и скорректировать базу данных выпускников;</w:t>
      </w:r>
    </w:p>
    <w:p w:rsidR="00530076" w:rsidRPr="00ED5BED" w:rsidRDefault="00530076" w:rsidP="00530076">
      <w:pPr>
        <w:numPr>
          <w:ilvl w:val="0"/>
          <w:numId w:val="1"/>
        </w:numPr>
        <w:ind w:firstLine="284"/>
        <w:jc w:val="both"/>
      </w:pPr>
      <w:r w:rsidRPr="00ED5BED">
        <w:t>Провести разъяснительную работу с выпускниками по вопросам ЕГЭ;</w:t>
      </w:r>
    </w:p>
    <w:p w:rsidR="00530076" w:rsidRPr="00ED5BED" w:rsidRDefault="00530076" w:rsidP="00530076">
      <w:pPr>
        <w:numPr>
          <w:ilvl w:val="0"/>
          <w:numId w:val="1"/>
        </w:numPr>
        <w:ind w:firstLine="284"/>
        <w:jc w:val="both"/>
      </w:pPr>
      <w:r w:rsidRPr="00ED5BED">
        <w:t>Провести родительские собрания, на которых рассмотреть вопросы ЕГЭ;</w:t>
      </w:r>
    </w:p>
    <w:p w:rsidR="00530076" w:rsidRPr="00ED5BED" w:rsidRDefault="00530076" w:rsidP="00530076">
      <w:pPr>
        <w:numPr>
          <w:ilvl w:val="0"/>
          <w:numId w:val="1"/>
        </w:numPr>
        <w:ind w:firstLine="284"/>
        <w:jc w:val="both"/>
      </w:pPr>
      <w:r w:rsidRPr="00ED5BED">
        <w:t xml:space="preserve">Выпускников школы  обеспечить необходимой дополнительными материалами для подготовки к ЕГЭ; </w:t>
      </w:r>
    </w:p>
    <w:p w:rsidR="00530076" w:rsidRPr="00ED5BED" w:rsidRDefault="00530076" w:rsidP="00530076">
      <w:pPr>
        <w:numPr>
          <w:ilvl w:val="0"/>
          <w:numId w:val="1"/>
        </w:numPr>
        <w:ind w:firstLine="284"/>
        <w:jc w:val="both"/>
      </w:pPr>
      <w:r w:rsidRPr="00ED5BED">
        <w:t>В школе подготовить стенды для уч</w:t>
      </w:r>
      <w:r w:rsidR="00FE2FD1">
        <w:t>ащихся</w:t>
      </w:r>
      <w:r w:rsidRPr="00ED5BED">
        <w:t xml:space="preserve"> и их родителей, на которых </w:t>
      </w:r>
      <w:r w:rsidR="00FE2FD1">
        <w:t xml:space="preserve">должна </w:t>
      </w:r>
      <w:r w:rsidRPr="00ED5BED">
        <w:t>размещалась и систематически обновлялась информация по вопросам ЕГЭ.</w:t>
      </w:r>
    </w:p>
    <w:p w:rsidR="00530076" w:rsidRPr="00ED5BED" w:rsidRDefault="00FE2FD1" w:rsidP="00530076">
      <w:pPr>
        <w:ind w:firstLine="284"/>
        <w:jc w:val="both"/>
      </w:pPr>
      <w:r>
        <w:t xml:space="preserve">             _ Организовать дополнительные занятия с графиком познакомить учащихся и   родителей,</w:t>
      </w:r>
      <w:r w:rsidR="00015472">
        <w:t xml:space="preserve"> </w:t>
      </w:r>
      <w:r>
        <w:t>и график разместить на стенде;</w:t>
      </w:r>
    </w:p>
    <w:p w:rsidR="00530076" w:rsidRPr="00ED5BED" w:rsidRDefault="00FE2FD1" w:rsidP="00FE2FD1">
      <w:pPr>
        <w:tabs>
          <w:tab w:val="left" w:pos="1068"/>
        </w:tabs>
        <w:ind w:firstLine="284"/>
        <w:jc w:val="both"/>
      </w:pPr>
      <w:r>
        <w:t xml:space="preserve">  </w:t>
      </w:r>
      <w:r>
        <w:tab/>
        <w:t>_ Организовать индиви</w:t>
      </w:r>
      <w:r w:rsidR="00015472">
        <w:t>дуальные</w:t>
      </w:r>
      <w:r>
        <w:t xml:space="preserve"> занятия</w:t>
      </w:r>
      <w:r w:rsidR="00015472">
        <w:t xml:space="preserve"> со слабоуспевающими и неуспевающими учащимися,</w:t>
      </w:r>
      <w:r>
        <w:t xml:space="preserve"> с графиком познакомить учащихся и   родителей,</w:t>
      </w:r>
      <w:r w:rsidR="00015472">
        <w:t xml:space="preserve"> </w:t>
      </w:r>
      <w:r>
        <w:t>и график разместить на стенде;</w:t>
      </w:r>
    </w:p>
    <w:p w:rsidR="00530076" w:rsidRPr="00ED5BED" w:rsidRDefault="00530076" w:rsidP="00530076">
      <w:pPr>
        <w:ind w:firstLine="284"/>
        <w:jc w:val="both"/>
      </w:pPr>
    </w:p>
    <w:p w:rsidR="00F56A19" w:rsidRPr="00ED5BED" w:rsidRDefault="00ED5BED" w:rsidP="001D5AD2">
      <w:pPr>
        <w:ind w:firstLine="284"/>
        <w:jc w:val="both"/>
      </w:pPr>
      <w:r>
        <w:t xml:space="preserve">                  </w:t>
      </w:r>
      <w:r w:rsidR="00530076" w:rsidRPr="00ED5BED">
        <w:t xml:space="preserve">Тьютор </w:t>
      </w:r>
      <w:r w:rsidR="002E0869" w:rsidRPr="00ED5BED">
        <w:t xml:space="preserve">                                                                            </w:t>
      </w:r>
      <w:r w:rsidR="00530076" w:rsidRPr="00ED5BED">
        <w:t>Петровская Л.В.</w:t>
      </w:r>
    </w:p>
    <w:sectPr w:rsidR="00F56A19" w:rsidRPr="00ED5BED" w:rsidSect="008E009C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6FF5"/>
    <w:multiLevelType w:val="hybridMultilevel"/>
    <w:tmpl w:val="9B1E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733D1"/>
    <w:multiLevelType w:val="hybridMultilevel"/>
    <w:tmpl w:val="1D38434C"/>
    <w:lvl w:ilvl="0" w:tplc="32FAF9DC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572"/>
    <w:rsid w:val="00015472"/>
    <w:rsid w:val="00016919"/>
    <w:rsid w:val="00095644"/>
    <w:rsid w:val="00096B81"/>
    <w:rsid w:val="0011699C"/>
    <w:rsid w:val="0018155A"/>
    <w:rsid w:val="001D5AD2"/>
    <w:rsid w:val="002D4CA1"/>
    <w:rsid w:val="002E0869"/>
    <w:rsid w:val="003F25B3"/>
    <w:rsid w:val="0046467F"/>
    <w:rsid w:val="0049437D"/>
    <w:rsid w:val="00504FA9"/>
    <w:rsid w:val="00530076"/>
    <w:rsid w:val="00542223"/>
    <w:rsid w:val="005439A4"/>
    <w:rsid w:val="00614973"/>
    <w:rsid w:val="00661F2B"/>
    <w:rsid w:val="006851A8"/>
    <w:rsid w:val="006C5FDD"/>
    <w:rsid w:val="006D068E"/>
    <w:rsid w:val="00783BC1"/>
    <w:rsid w:val="00861572"/>
    <w:rsid w:val="00894043"/>
    <w:rsid w:val="008E009C"/>
    <w:rsid w:val="008E1A3C"/>
    <w:rsid w:val="0091262C"/>
    <w:rsid w:val="00981380"/>
    <w:rsid w:val="0099374C"/>
    <w:rsid w:val="009B4613"/>
    <w:rsid w:val="00BA7DF1"/>
    <w:rsid w:val="00BE6F1C"/>
    <w:rsid w:val="00D63590"/>
    <w:rsid w:val="00DA7D16"/>
    <w:rsid w:val="00DD32C0"/>
    <w:rsid w:val="00ED5BED"/>
    <w:rsid w:val="00F56A19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72"/>
    <w:pPr>
      <w:ind w:left="720"/>
      <w:contextualSpacing/>
    </w:pPr>
  </w:style>
  <w:style w:type="table" w:styleId="a4">
    <w:name w:val="Table Grid"/>
    <w:basedOn w:val="a1"/>
    <w:uiPriority w:val="59"/>
    <w:rsid w:val="0068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72"/>
    <w:pPr>
      <w:ind w:left="720"/>
      <w:contextualSpacing/>
    </w:pPr>
  </w:style>
  <w:style w:type="table" w:styleId="a4">
    <w:name w:val="Table Grid"/>
    <w:basedOn w:val="a1"/>
    <w:uiPriority w:val="59"/>
    <w:rsid w:val="0068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ЕГЭ по физике обученность и качество знаний</a:t>
            </a:r>
            <a:endParaRPr lang="ru-RU"/>
          </a:p>
        </c:rich>
      </c:tx>
      <c:layout/>
    </c:title>
    <c:plotArea>
      <c:layout/>
      <c:lineChart>
        <c:grouping val="standard"/>
        <c:ser>
          <c:idx val="0"/>
          <c:order val="0"/>
          <c:cat>
            <c:strRef>
              <c:f>Лист1!$A$1:$A$11</c:f>
              <c:strCache>
                <c:ptCount val="11"/>
                <c:pt idx="0">
                  <c:v>сош№1</c:v>
                </c:pt>
                <c:pt idx="1">
                  <c:v>сош№2</c:v>
                </c:pt>
                <c:pt idx="2">
                  <c:v>сош№4</c:v>
                </c:pt>
                <c:pt idx="3">
                  <c:v>сош №5</c:v>
                </c:pt>
                <c:pt idx="4">
                  <c:v>сош№6</c:v>
                </c:pt>
                <c:pt idx="5">
                  <c:v>сош№7</c:v>
                </c:pt>
                <c:pt idx="6">
                  <c:v>сош№16</c:v>
                </c:pt>
                <c:pt idx="7">
                  <c:v>сош№20</c:v>
                </c:pt>
                <c:pt idx="8">
                  <c:v>сош№23</c:v>
                </c:pt>
                <c:pt idx="9">
                  <c:v>сош№30</c:v>
                </c:pt>
                <c:pt idx="10">
                  <c:v>сош№33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50</c:v>
                </c:pt>
                <c:pt idx="1">
                  <c:v>50</c:v>
                </c:pt>
                <c:pt idx="2">
                  <c:v>66</c:v>
                </c:pt>
                <c:pt idx="3">
                  <c:v>80</c:v>
                </c:pt>
                <c:pt idx="4">
                  <c:v>14</c:v>
                </c:pt>
                <c:pt idx="5">
                  <c:v>0</c:v>
                </c:pt>
                <c:pt idx="6">
                  <c:v>83</c:v>
                </c:pt>
                <c:pt idx="7">
                  <c:v>66</c:v>
                </c:pt>
                <c:pt idx="8">
                  <c:v>50</c:v>
                </c:pt>
                <c:pt idx="9">
                  <c:v>66</c:v>
                </c:pt>
                <c:pt idx="10">
                  <c:v>50</c:v>
                </c:pt>
              </c:numCache>
            </c:numRef>
          </c:val>
        </c:ser>
        <c:ser>
          <c:idx val="1"/>
          <c:order val="1"/>
          <c:cat>
            <c:strRef>
              <c:f>Лист1!$A$1:$A$11</c:f>
              <c:strCache>
                <c:ptCount val="11"/>
                <c:pt idx="0">
                  <c:v>сош№1</c:v>
                </c:pt>
                <c:pt idx="1">
                  <c:v>сош№2</c:v>
                </c:pt>
                <c:pt idx="2">
                  <c:v>сош№4</c:v>
                </c:pt>
                <c:pt idx="3">
                  <c:v>сош №5</c:v>
                </c:pt>
                <c:pt idx="4">
                  <c:v>сош№6</c:v>
                </c:pt>
                <c:pt idx="5">
                  <c:v>сош№7</c:v>
                </c:pt>
                <c:pt idx="6">
                  <c:v>сош№16</c:v>
                </c:pt>
                <c:pt idx="7">
                  <c:v>сош№20</c:v>
                </c:pt>
                <c:pt idx="8">
                  <c:v>сош№23</c:v>
                </c:pt>
                <c:pt idx="9">
                  <c:v>сош№30</c:v>
                </c:pt>
                <c:pt idx="10">
                  <c:v>сош№33</c:v>
                </c:pt>
              </c:strCache>
            </c:strRef>
          </c:cat>
          <c:val>
            <c:numRef>
              <c:f>Лист1!$C$1:$C$11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44</c:v>
                </c:pt>
                <c:pt idx="3">
                  <c:v>20</c:v>
                </c:pt>
                <c:pt idx="4">
                  <c:v>14</c:v>
                </c:pt>
                <c:pt idx="5">
                  <c:v>0</c:v>
                </c:pt>
                <c:pt idx="6">
                  <c:v>50</c:v>
                </c:pt>
                <c:pt idx="7">
                  <c:v>33</c:v>
                </c:pt>
                <c:pt idx="8">
                  <c:v>50</c:v>
                </c:pt>
                <c:pt idx="9">
                  <c:v>33</c:v>
                </c:pt>
                <c:pt idx="10">
                  <c:v>25</c:v>
                </c:pt>
              </c:numCache>
            </c:numRef>
          </c:val>
        </c:ser>
        <c:marker val="1"/>
        <c:axId val="56403456"/>
        <c:axId val="56404992"/>
      </c:lineChart>
      <c:catAx>
        <c:axId val="56403456"/>
        <c:scaling>
          <c:orientation val="minMax"/>
        </c:scaling>
        <c:axPos val="b"/>
        <c:tickLblPos val="nextTo"/>
        <c:crossAx val="56404992"/>
        <c:crosses val="autoZero"/>
        <c:auto val="1"/>
        <c:lblAlgn val="ctr"/>
        <c:lblOffset val="100"/>
      </c:catAx>
      <c:valAx>
        <c:axId val="56404992"/>
        <c:scaling>
          <c:orientation val="minMax"/>
        </c:scaling>
        <c:axPos val="l"/>
        <c:majorGridlines/>
        <c:numFmt formatCode="General" sourceLinked="1"/>
        <c:tickLblPos val="nextTo"/>
        <c:crossAx val="564034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Порог</a:t>
            </a:r>
            <a:r>
              <a:rPr lang="ru-RU" baseline="0"/>
              <a:t> успешности по школам</a:t>
            </a:r>
            <a:endParaRPr lang="ru-RU"/>
          </a:p>
        </c:rich>
      </c:tx>
      <c:layout/>
    </c:title>
    <c:plotArea>
      <c:layout/>
      <c:lineChart>
        <c:grouping val="standard"/>
        <c:ser>
          <c:idx val="0"/>
          <c:order val="0"/>
          <c:cat>
            <c:strRef>
              <c:f>Лист1!$A$1:$A$11</c:f>
              <c:strCache>
                <c:ptCount val="11"/>
                <c:pt idx="0">
                  <c:v>сош№1</c:v>
                </c:pt>
                <c:pt idx="1">
                  <c:v>сош№2</c:v>
                </c:pt>
                <c:pt idx="2">
                  <c:v>сош№4</c:v>
                </c:pt>
                <c:pt idx="3">
                  <c:v>сош №5</c:v>
                </c:pt>
                <c:pt idx="4">
                  <c:v>сош№6</c:v>
                </c:pt>
                <c:pt idx="5">
                  <c:v>сош№7</c:v>
                </c:pt>
                <c:pt idx="6">
                  <c:v>сош№16</c:v>
                </c:pt>
                <c:pt idx="7">
                  <c:v>сош№20</c:v>
                </c:pt>
                <c:pt idx="8">
                  <c:v>сош№23</c:v>
                </c:pt>
                <c:pt idx="9">
                  <c:v>сош№30</c:v>
                </c:pt>
                <c:pt idx="10">
                  <c:v>сош№33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12.5</c:v>
                </c:pt>
                <c:pt idx="1">
                  <c:v>11.5</c:v>
                </c:pt>
                <c:pt idx="2">
                  <c:v>15</c:v>
                </c:pt>
                <c:pt idx="3">
                  <c:v>15</c:v>
                </c:pt>
                <c:pt idx="4">
                  <c:v>10.9</c:v>
                </c:pt>
                <c:pt idx="5">
                  <c:v>10.6</c:v>
                </c:pt>
                <c:pt idx="6">
                  <c:v>16</c:v>
                </c:pt>
                <c:pt idx="7">
                  <c:v>13.6</c:v>
                </c:pt>
                <c:pt idx="8">
                  <c:v>14.5</c:v>
                </c:pt>
                <c:pt idx="9">
                  <c:v>14</c:v>
                </c:pt>
                <c:pt idx="10">
                  <c:v>13.5</c:v>
                </c:pt>
              </c:numCache>
            </c:numRef>
          </c:val>
        </c:ser>
        <c:ser>
          <c:idx val="1"/>
          <c:order val="1"/>
          <c:cat>
            <c:strRef>
              <c:f>Лист1!$A$1:$A$11</c:f>
              <c:strCache>
                <c:ptCount val="11"/>
                <c:pt idx="0">
                  <c:v>сош№1</c:v>
                </c:pt>
                <c:pt idx="1">
                  <c:v>сош№2</c:v>
                </c:pt>
                <c:pt idx="2">
                  <c:v>сош№4</c:v>
                </c:pt>
                <c:pt idx="3">
                  <c:v>сош №5</c:v>
                </c:pt>
                <c:pt idx="4">
                  <c:v>сош№6</c:v>
                </c:pt>
                <c:pt idx="5">
                  <c:v>сош№7</c:v>
                </c:pt>
                <c:pt idx="6">
                  <c:v>сош№16</c:v>
                </c:pt>
                <c:pt idx="7">
                  <c:v>сош№20</c:v>
                </c:pt>
                <c:pt idx="8">
                  <c:v>сош№23</c:v>
                </c:pt>
                <c:pt idx="9">
                  <c:v>сош№30</c:v>
                </c:pt>
                <c:pt idx="10">
                  <c:v>сош№33</c:v>
                </c:pt>
              </c:strCache>
            </c:strRef>
          </c:cat>
          <c:val>
            <c:numRef>
              <c:f>Лист1!$C$1:$C$11</c:f>
              <c:numCache>
                <c:formatCode>General</c:formatCode>
                <c:ptCount val="11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14</c:v>
                </c:pt>
              </c:numCache>
            </c:numRef>
          </c:val>
        </c:ser>
        <c:marker val="1"/>
        <c:axId val="56480128"/>
        <c:axId val="56481664"/>
      </c:lineChart>
      <c:catAx>
        <c:axId val="56480128"/>
        <c:scaling>
          <c:orientation val="minMax"/>
        </c:scaling>
        <c:axPos val="b"/>
        <c:tickLblPos val="nextTo"/>
        <c:crossAx val="56481664"/>
        <c:crosses val="autoZero"/>
        <c:auto val="1"/>
        <c:lblAlgn val="ctr"/>
        <c:lblOffset val="100"/>
      </c:catAx>
      <c:valAx>
        <c:axId val="56481664"/>
        <c:scaling>
          <c:orientation val="minMax"/>
        </c:scaling>
        <c:axPos val="l"/>
        <c:majorGridlines/>
        <c:numFmt formatCode="General" sourceLinked="1"/>
        <c:tickLblPos val="nextTo"/>
        <c:crossAx val="564801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Выше</a:t>
            </a:r>
            <a:r>
              <a:rPr lang="ru-RU" baseline="0"/>
              <a:t> среднего балла по району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сош №5</c:v>
                </c:pt>
                <c:pt idx="1">
                  <c:v>сош№16</c:v>
                </c:pt>
                <c:pt idx="2">
                  <c:v>сош№20</c:v>
                </c:pt>
                <c:pt idx="3">
                  <c:v>сош№23</c:v>
                </c:pt>
                <c:pt idx="4">
                  <c:v>сош№30</c:v>
                </c:pt>
                <c:pt idx="5">
                  <c:v>сош№33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15</c:v>
                </c:pt>
                <c:pt idx="1">
                  <c:v>16</c:v>
                </c:pt>
                <c:pt idx="2">
                  <c:v>13.6</c:v>
                </c:pt>
                <c:pt idx="3">
                  <c:v>14.5</c:v>
                </c:pt>
                <c:pt idx="4">
                  <c:v>14</c:v>
                </c:pt>
                <c:pt idx="5">
                  <c:v>13.5</c:v>
                </c:pt>
              </c:numCache>
            </c:numRef>
          </c:val>
        </c:ser>
        <c:axId val="56980992"/>
        <c:axId val="56982528"/>
      </c:barChart>
      <c:catAx>
        <c:axId val="56980992"/>
        <c:scaling>
          <c:orientation val="minMax"/>
        </c:scaling>
        <c:axPos val="b"/>
        <c:tickLblPos val="nextTo"/>
        <c:crossAx val="56982528"/>
        <c:crosses val="autoZero"/>
        <c:auto val="1"/>
        <c:lblAlgn val="ctr"/>
        <c:lblOffset val="100"/>
      </c:catAx>
      <c:valAx>
        <c:axId val="56982528"/>
        <c:scaling>
          <c:orientation val="minMax"/>
        </c:scaling>
        <c:axPos val="l"/>
        <c:majorGridlines/>
        <c:numFmt formatCode="General" sourceLinked="1"/>
        <c:tickLblPos val="nextTo"/>
        <c:crossAx val="569809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17</cp:revision>
  <dcterms:created xsi:type="dcterms:W3CDTF">2012-11-03T16:09:00Z</dcterms:created>
  <dcterms:modified xsi:type="dcterms:W3CDTF">2012-11-08T11:16:00Z</dcterms:modified>
</cp:coreProperties>
</file>